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276"/>
        <w:gridCol w:w="1275"/>
      </w:tblGrid>
      <w:tr w:rsidR="007264C4" w:rsidRPr="00E40798" w14:paraId="3845DA13" w14:textId="77777777" w:rsidTr="007264C4">
        <w:trPr>
          <w:cantSplit/>
          <w:trHeight w:val="1231"/>
        </w:trPr>
        <w:tc>
          <w:tcPr>
            <w:tcW w:w="1985" w:type="dxa"/>
            <w:shd w:val="clear" w:color="auto" w:fill="C2D69B"/>
          </w:tcPr>
          <w:p w14:paraId="35C0A788" w14:textId="77777777" w:rsidR="001F2C06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3AE7EEA3" w:rsidR="007264C4" w:rsidRPr="00081414" w:rsidRDefault="001F2C06" w:rsidP="001F2C06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shd w:val="clear" w:color="auto" w:fill="C2D69B"/>
            <w:vAlign w:val="center"/>
          </w:tcPr>
          <w:p w14:paraId="098EFFBA" w14:textId="2B66F89B" w:rsidR="007264C4" w:rsidRDefault="007264C4" w:rsidP="008F6B51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61EB6">
              <w:rPr>
                <w:rFonts w:cs="Tahoma"/>
                <w:b/>
                <w:sz w:val="12"/>
                <w:szCs w:val="12"/>
              </w:rPr>
              <w:br/>
            </w:r>
            <w:r w:rsidR="00CE4363">
              <w:rPr>
                <w:b/>
                <w:bCs/>
                <w:sz w:val="32"/>
                <w:szCs w:val="32"/>
              </w:rPr>
              <w:t>AK Mini</w:t>
            </w:r>
            <w:r w:rsidR="00EA2F7B">
              <w:rPr>
                <w:b/>
                <w:bCs/>
                <w:sz w:val="32"/>
                <w:szCs w:val="32"/>
              </w:rPr>
              <w:t>A</w:t>
            </w:r>
            <w:r w:rsidR="00CE4363">
              <w:rPr>
                <w:b/>
                <w:bCs/>
                <w:sz w:val="32"/>
                <w:szCs w:val="32"/>
              </w:rPr>
              <w:t>nalytik</w:t>
            </w:r>
          </w:p>
          <w:p w14:paraId="5DAC0EE9" w14:textId="61F1D6B1" w:rsidR="007264C4" w:rsidRPr="00454B18" w:rsidRDefault="007264C4" w:rsidP="005257F4">
            <w:pPr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C2D69B"/>
            <w:vAlign w:val="center"/>
          </w:tcPr>
          <w:p w14:paraId="6311C00A" w14:textId="292DFE9E" w:rsidR="007264C4" w:rsidRPr="00D61EB6" w:rsidRDefault="003E720F" w:rsidP="00454B18">
            <w:pPr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hyperlink r:id="rId7" w:history="1">
              <w:r w:rsidR="00642593">
                <w:object w:dxaOrig="1830" w:dyaOrig="1695" w14:anchorId="5C4D6D8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6.25pt;height:52.5pt" o:ole="">
                    <v:imagedata r:id="rId8" o:title=""/>
                  </v:shape>
                  <o:OLEObject Type="Embed" ProgID="PBrush" ShapeID="_x0000_i1025" DrawAspect="Content" ObjectID="_1662821023" r:id="rId9"/>
                </w:object>
              </w:r>
            </w:hyperlink>
          </w:p>
        </w:tc>
        <w:tc>
          <w:tcPr>
            <w:tcW w:w="1275" w:type="dxa"/>
            <w:shd w:val="clear" w:color="auto" w:fill="C2D69B"/>
          </w:tcPr>
          <w:p w14:paraId="304E9CAA" w14:textId="77777777" w:rsidR="007264C4" w:rsidRDefault="007264C4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0FA2D7E0" w:rsidR="007264C4" w:rsidRPr="00454B18" w:rsidRDefault="003E720F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CE4363" w:rsidRPr="00EA2F7B">
                <w:rPr>
                  <w:rStyle w:val="Hyperlink"/>
                  <w:b/>
                  <w:bCs/>
                  <w:sz w:val="32"/>
                  <w:szCs w:val="32"/>
                </w:rPr>
                <w:t>MA01</w:t>
              </w:r>
            </w:hyperlink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373FA92E" w14:textId="7942F41B" w:rsidR="00454B18" w:rsidRDefault="00454B18" w:rsidP="00454B18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 xml:space="preserve">Hier </w:t>
      </w:r>
      <w:r w:rsidR="000C160C" w:rsidRPr="00E13B3D">
        <w:rPr>
          <w:sz w:val="24"/>
          <w:szCs w:val="24"/>
        </w:rPr>
        <w:t>ist</w:t>
      </w:r>
      <w:r w:rsidRPr="00E13B3D">
        <w:rPr>
          <w:sz w:val="24"/>
          <w:szCs w:val="24"/>
        </w:rPr>
        <w:t xml:space="preserve"> eine Reihe von </w:t>
      </w:r>
      <w:r w:rsidR="00115B99">
        <w:rPr>
          <w:sz w:val="24"/>
          <w:szCs w:val="24"/>
        </w:rPr>
        <w:t>Aufgaben zur App</w:t>
      </w:r>
      <w:r w:rsidRPr="00E13B3D">
        <w:rPr>
          <w:sz w:val="24"/>
          <w:szCs w:val="24"/>
        </w:rPr>
        <w:t xml:space="preserve"> ...</w:t>
      </w:r>
      <w:r>
        <w:rPr>
          <w:sz w:val="24"/>
          <w:szCs w:val="24"/>
        </w:rPr>
        <w:t xml:space="preserve">          </w:t>
      </w:r>
      <w:r w:rsidR="000C160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Name:_________________________</w:t>
      </w:r>
    </w:p>
    <w:p w14:paraId="668A9D87" w14:textId="77777777" w:rsidR="00115B99" w:rsidRDefault="00115B99" w:rsidP="00CE4363">
      <w:pPr>
        <w:pStyle w:val="Listenabsatz"/>
        <w:ind w:left="0"/>
      </w:pPr>
    </w:p>
    <w:p w14:paraId="4F65F573" w14:textId="6153CA74" w:rsidR="00CE4363" w:rsidRDefault="00CE4363" w:rsidP="00CE4363">
      <w:pPr>
        <w:pStyle w:val="Listenabsatz"/>
        <w:ind w:left="0"/>
      </w:pPr>
      <w:r>
        <w:t>Änderung der Skalierung:</w:t>
      </w:r>
    </w:p>
    <w:p w14:paraId="50711590" w14:textId="17636A11" w:rsidR="00CE4363" w:rsidRDefault="00DD51B4" w:rsidP="00CE4363">
      <w:pPr>
        <w:pStyle w:val="Listenabsatz"/>
        <w:numPr>
          <w:ilvl w:val="0"/>
          <w:numId w:val="10"/>
        </w:numPr>
      </w:pPr>
      <w:r>
        <w:t>Oben rechts a</w:t>
      </w:r>
      <w:r w:rsidR="00CE4363">
        <w:t xml:space="preserve">uf „blaue entgegengesetzte Pfeile“ klicken, dass </w:t>
      </w:r>
      <w:r w:rsidR="00244CDC">
        <w:t xml:space="preserve">das </w:t>
      </w:r>
      <w:r w:rsidR="00CE4363">
        <w:t>Hamburger Menü sichtbar wird.</w:t>
      </w:r>
    </w:p>
    <w:p w14:paraId="08546F6C" w14:textId="43D01736" w:rsidR="00CE4363" w:rsidRDefault="00CE4363" w:rsidP="00CE4363">
      <w:pPr>
        <w:pStyle w:val="Listenabsatz"/>
        <w:numPr>
          <w:ilvl w:val="0"/>
          <w:numId w:val="10"/>
        </w:numPr>
      </w:pPr>
      <w:r>
        <w:t xml:space="preserve">Auf „Hamburger Menü“, dann auf „Eigenschaften“ </w:t>
      </w:r>
      <w:r w:rsidR="00115B99">
        <w:t>k</w:t>
      </w:r>
      <w:r>
        <w:t xml:space="preserve">licken </w:t>
      </w:r>
    </w:p>
    <w:p w14:paraId="3E2AF8A4" w14:textId="0A9BBE6C" w:rsidR="00115B99" w:rsidRDefault="00115B99" w:rsidP="00CE4363">
      <w:pPr>
        <w:pStyle w:val="Listenabsatz"/>
        <w:numPr>
          <w:ilvl w:val="0"/>
          <w:numId w:val="10"/>
        </w:numPr>
      </w:pPr>
      <w:r>
        <w:t>X- Achse: Obergrenze auf „20“</w:t>
      </w:r>
      <w:r w:rsidR="00EF3C76">
        <w:t xml:space="preserve"> –</w:t>
      </w:r>
      <w:r>
        <w:t xml:space="preserve"> y</w:t>
      </w:r>
      <w:r w:rsidR="00EF3C76">
        <w:t>-</w:t>
      </w:r>
      <w:r>
        <w:t xml:space="preserve"> Achse: Obergrenze auf „14“ ändern und „OK“</w:t>
      </w:r>
    </w:p>
    <w:p w14:paraId="56290CC3" w14:textId="6ECA38A1" w:rsidR="00115B99" w:rsidRDefault="00115B99" w:rsidP="00115B99">
      <w:pPr>
        <w:pStyle w:val="Listenabsatz"/>
      </w:pPr>
    </w:p>
    <w:p w14:paraId="5EEB6A9A" w14:textId="77777777" w:rsidR="00115B99" w:rsidRDefault="00115B99" w:rsidP="00115B99">
      <w:pPr>
        <w:pStyle w:val="Listenabsatz"/>
      </w:pPr>
    </w:p>
    <w:p w14:paraId="390DC35B" w14:textId="58F2FF6D" w:rsidR="00115B99" w:rsidRDefault="00115B99" w:rsidP="00115B99">
      <w:pPr>
        <w:pStyle w:val="Listenabsatz"/>
        <w:numPr>
          <w:ilvl w:val="0"/>
          <w:numId w:val="11"/>
        </w:numPr>
      </w:pPr>
      <w:r>
        <w:t>Bestimmen Sie unter „Auswerten“</w:t>
      </w:r>
      <w:r w:rsidR="006514AB">
        <w:t xml:space="preserve"> (oben 3. Icon von links)</w:t>
      </w:r>
      <w:r>
        <w:t xml:space="preserve"> mit der „Drei-Geraden-Methode“ den Äquivalenzpunkt und die Konzentration der vorgelegten Säure!</w:t>
      </w:r>
    </w:p>
    <w:p w14:paraId="348676E4" w14:textId="77777777" w:rsidR="00115B99" w:rsidRDefault="00115B99" w:rsidP="00115B99">
      <w:pPr>
        <w:pStyle w:val="Listenabsatz"/>
      </w:pPr>
    </w:p>
    <w:p w14:paraId="3A7C8EDB" w14:textId="0E7177A8" w:rsidR="00115B99" w:rsidRDefault="00115B99" w:rsidP="00115B99">
      <w:pPr>
        <w:pStyle w:val="Listenabsatz"/>
        <w:numPr>
          <w:ilvl w:val="0"/>
          <w:numId w:val="11"/>
        </w:numPr>
      </w:pPr>
      <w:r>
        <w:t>Bestimmen Sie unter „Auswerten“ mit „Halbäquivalenzpunkt“ den pKs-Wert der vorgelegten Säure!</w:t>
      </w:r>
    </w:p>
    <w:p w14:paraId="4C94A5E7" w14:textId="2CC49848" w:rsidR="00115B99" w:rsidRDefault="00115B99" w:rsidP="00115B99">
      <w:pPr>
        <w:pStyle w:val="Listenabsatz"/>
      </w:pPr>
    </w:p>
    <w:p w14:paraId="0D12D4A8" w14:textId="2674E3FC" w:rsidR="00C46266" w:rsidRDefault="00C46266" w:rsidP="00115B99">
      <w:pPr>
        <w:pStyle w:val="Listenabsatz"/>
      </w:pPr>
    </w:p>
    <w:p w14:paraId="57610BB5" w14:textId="77777777" w:rsidR="00C46266" w:rsidRDefault="00C46266" w:rsidP="00C46266">
      <w:pPr>
        <w:pStyle w:val="Listenabsatz"/>
        <w:numPr>
          <w:ilvl w:val="0"/>
          <w:numId w:val="11"/>
        </w:numPr>
      </w:pPr>
      <w:r>
        <w:t>Um welche Säure kann es sich bei der hier gestellten Aufgabe handeln?</w:t>
      </w:r>
    </w:p>
    <w:p w14:paraId="2931E407" w14:textId="456EAA55" w:rsidR="000C160C" w:rsidRDefault="000C160C" w:rsidP="00115B99">
      <w:pPr>
        <w:pStyle w:val="Listenabsatz"/>
      </w:pPr>
      <w:r>
        <w:t>Tabelle pKs-Werte: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95"/>
        <w:gridCol w:w="601"/>
        <w:gridCol w:w="2051"/>
        <w:gridCol w:w="824"/>
        <w:gridCol w:w="1856"/>
        <w:gridCol w:w="992"/>
      </w:tblGrid>
      <w:tr w:rsidR="00C46266" w:rsidRPr="006A541F" w14:paraId="1DE7718F" w14:textId="77777777" w:rsidTr="00C46266">
        <w:tc>
          <w:tcPr>
            <w:tcW w:w="1895" w:type="dxa"/>
            <w:tcBorders>
              <w:bottom w:val="double" w:sz="4" w:space="0" w:color="auto"/>
            </w:tcBorders>
          </w:tcPr>
          <w:p w14:paraId="0F9F4591" w14:textId="0E2243D7" w:rsidR="00C46266" w:rsidRPr="006A541F" w:rsidRDefault="00C46266" w:rsidP="00C46266">
            <w:pPr>
              <w:pStyle w:val="Listenabsatz"/>
              <w:ind w:left="0"/>
            </w:pPr>
            <w:r>
              <w:t>Säure</w:t>
            </w:r>
          </w:p>
        </w:tc>
        <w:tc>
          <w:tcPr>
            <w:tcW w:w="601" w:type="dxa"/>
            <w:tcBorders>
              <w:bottom w:val="double" w:sz="4" w:space="0" w:color="auto"/>
            </w:tcBorders>
          </w:tcPr>
          <w:p w14:paraId="6C3C884A" w14:textId="53913924" w:rsidR="00C46266" w:rsidRPr="006A541F" w:rsidRDefault="00C46266" w:rsidP="00C46266">
            <w:pPr>
              <w:pStyle w:val="Listenabsatz"/>
              <w:ind w:left="0"/>
              <w:jc w:val="both"/>
            </w:pPr>
            <w:r w:rsidRPr="006A541F">
              <w:t>pKs</w:t>
            </w:r>
          </w:p>
        </w:tc>
        <w:tc>
          <w:tcPr>
            <w:tcW w:w="2051" w:type="dxa"/>
            <w:tcBorders>
              <w:bottom w:val="double" w:sz="4" w:space="0" w:color="auto"/>
            </w:tcBorders>
          </w:tcPr>
          <w:p w14:paraId="22790D2F" w14:textId="5BAD223C" w:rsidR="00C46266" w:rsidRPr="006A541F" w:rsidRDefault="00C46266" w:rsidP="00C46266">
            <w:pPr>
              <w:pStyle w:val="Listenabsatz"/>
              <w:ind w:left="0"/>
            </w:pPr>
            <w:r>
              <w:t>Säure</w:t>
            </w:r>
          </w:p>
        </w:tc>
        <w:tc>
          <w:tcPr>
            <w:tcW w:w="824" w:type="dxa"/>
            <w:tcBorders>
              <w:bottom w:val="double" w:sz="4" w:space="0" w:color="auto"/>
            </w:tcBorders>
          </w:tcPr>
          <w:p w14:paraId="69457D0F" w14:textId="1C07417C" w:rsidR="00C46266" w:rsidRPr="006A541F" w:rsidRDefault="00C46266" w:rsidP="00C46266">
            <w:pPr>
              <w:pStyle w:val="Listenabsatz"/>
              <w:ind w:left="0"/>
            </w:pPr>
            <w:r w:rsidRPr="006A541F">
              <w:t>pKs</w:t>
            </w:r>
          </w:p>
        </w:tc>
        <w:tc>
          <w:tcPr>
            <w:tcW w:w="1856" w:type="dxa"/>
            <w:tcBorders>
              <w:bottom w:val="double" w:sz="4" w:space="0" w:color="auto"/>
            </w:tcBorders>
          </w:tcPr>
          <w:p w14:paraId="29DBA428" w14:textId="0C150F0C" w:rsidR="00C46266" w:rsidRPr="006A541F" w:rsidRDefault="00C46266" w:rsidP="00C46266">
            <w:pPr>
              <w:pStyle w:val="Listenabsatz"/>
              <w:ind w:left="0"/>
            </w:pPr>
            <w:r>
              <w:t>Säure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A356819" w14:textId="1EEF0738" w:rsidR="00C46266" w:rsidRPr="006A541F" w:rsidRDefault="00C46266" w:rsidP="00C46266">
            <w:pPr>
              <w:pStyle w:val="Listenabsatz"/>
              <w:ind w:left="0"/>
            </w:pPr>
            <w:r w:rsidRPr="006A541F">
              <w:t>pKs</w:t>
            </w:r>
          </w:p>
        </w:tc>
      </w:tr>
      <w:tr w:rsidR="00C46266" w:rsidRPr="006A541F" w14:paraId="35525CE8" w14:textId="77777777" w:rsidTr="00C46266">
        <w:tc>
          <w:tcPr>
            <w:tcW w:w="1895" w:type="dxa"/>
            <w:tcBorders>
              <w:top w:val="double" w:sz="4" w:space="0" w:color="auto"/>
            </w:tcBorders>
          </w:tcPr>
          <w:p w14:paraId="6DFA7B4E" w14:textId="7629FAB6" w:rsidR="00C46266" w:rsidRPr="006A541F" w:rsidRDefault="00C46266" w:rsidP="00C46266">
            <w:pPr>
              <w:pStyle w:val="Listenabsatz"/>
              <w:ind w:left="0"/>
            </w:pPr>
            <w:r w:rsidRPr="006A541F">
              <w:t xml:space="preserve">Chlorwasserstoff </w:t>
            </w:r>
          </w:p>
        </w:tc>
        <w:tc>
          <w:tcPr>
            <w:tcW w:w="601" w:type="dxa"/>
            <w:tcBorders>
              <w:top w:val="double" w:sz="4" w:space="0" w:color="auto"/>
            </w:tcBorders>
          </w:tcPr>
          <w:p w14:paraId="3D59550C" w14:textId="0D50F740" w:rsidR="00C46266" w:rsidRPr="006A541F" w:rsidRDefault="00C46266" w:rsidP="00C46266">
            <w:pPr>
              <w:pStyle w:val="Listenabsatz"/>
              <w:ind w:left="0"/>
              <w:jc w:val="both"/>
            </w:pPr>
            <w:r>
              <w:t>-7</w:t>
            </w:r>
          </w:p>
        </w:tc>
        <w:tc>
          <w:tcPr>
            <w:tcW w:w="2051" w:type="dxa"/>
            <w:tcBorders>
              <w:top w:val="double" w:sz="4" w:space="0" w:color="auto"/>
            </w:tcBorders>
          </w:tcPr>
          <w:p w14:paraId="042FC97C" w14:textId="6A16C44C" w:rsidR="00C46266" w:rsidRPr="006A541F" w:rsidRDefault="00C46266" w:rsidP="00C46266">
            <w:pPr>
              <w:pStyle w:val="Listenabsatz"/>
              <w:ind w:left="0"/>
            </w:pPr>
            <w:r>
              <w:t>Phosphorsäure</w:t>
            </w:r>
          </w:p>
        </w:tc>
        <w:tc>
          <w:tcPr>
            <w:tcW w:w="824" w:type="dxa"/>
            <w:tcBorders>
              <w:top w:val="double" w:sz="4" w:space="0" w:color="auto"/>
            </w:tcBorders>
          </w:tcPr>
          <w:p w14:paraId="272094FD" w14:textId="06758502" w:rsidR="00C46266" w:rsidRPr="006A541F" w:rsidRDefault="00C46266" w:rsidP="00C46266">
            <w:pPr>
              <w:pStyle w:val="Listenabsatz"/>
              <w:ind w:left="0"/>
            </w:pPr>
            <w:r>
              <w:t>1,96</w:t>
            </w:r>
          </w:p>
        </w:tc>
        <w:tc>
          <w:tcPr>
            <w:tcW w:w="1856" w:type="dxa"/>
            <w:tcBorders>
              <w:top w:val="double" w:sz="4" w:space="0" w:color="auto"/>
            </w:tcBorders>
          </w:tcPr>
          <w:p w14:paraId="28006968" w14:textId="07E92CE3" w:rsidR="00C46266" w:rsidRPr="006A541F" w:rsidRDefault="00C46266" w:rsidP="00C46266">
            <w:pPr>
              <w:pStyle w:val="Listenabsatz"/>
              <w:ind w:left="0"/>
            </w:pPr>
            <w:r>
              <w:t>Kohlensäure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2D876CD" w14:textId="69B874B5" w:rsidR="00C46266" w:rsidRPr="006A541F" w:rsidRDefault="00C46266" w:rsidP="00C46266">
            <w:pPr>
              <w:pStyle w:val="Listenabsatz"/>
              <w:ind w:left="0"/>
            </w:pPr>
            <w:r>
              <w:t>6,52</w:t>
            </w:r>
          </w:p>
        </w:tc>
      </w:tr>
      <w:tr w:rsidR="00C46266" w:rsidRPr="006A541F" w14:paraId="6FB2980D" w14:textId="77777777" w:rsidTr="006A541F">
        <w:tc>
          <w:tcPr>
            <w:tcW w:w="1895" w:type="dxa"/>
          </w:tcPr>
          <w:p w14:paraId="33C3003B" w14:textId="145E723E" w:rsidR="00C46266" w:rsidRPr="006A541F" w:rsidRDefault="00C46266" w:rsidP="00C46266">
            <w:pPr>
              <w:pStyle w:val="Listenabsatz"/>
              <w:ind w:left="0"/>
            </w:pPr>
            <w:r>
              <w:t>Salpetersäure</w:t>
            </w:r>
          </w:p>
        </w:tc>
        <w:tc>
          <w:tcPr>
            <w:tcW w:w="601" w:type="dxa"/>
          </w:tcPr>
          <w:p w14:paraId="5AECAA01" w14:textId="345BDA46" w:rsidR="00C46266" w:rsidRPr="006A541F" w:rsidRDefault="00C46266" w:rsidP="00C46266">
            <w:pPr>
              <w:pStyle w:val="Listenabsatz"/>
              <w:ind w:left="0"/>
              <w:jc w:val="both"/>
            </w:pPr>
            <w:r w:rsidRPr="006A541F">
              <w:t>-3</w:t>
            </w:r>
          </w:p>
        </w:tc>
        <w:tc>
          <w:tcPr>
            <w:tcW w:w="2051" w:type="dxa"/>
          </w:tcPr>
          <w:p w14:paraId="269FC4B9" w14:textId="07016995" w:rsidR="00C46266" w:rsidRPr="006A541F" w:rsidRDefault="00C46266" w:rsidP="00C46266">
            <w:pPr>
              <w:pStyle w:val="Listenabsatz"/>
              <w:ind w:left="0"/>
            </w:pPr>
            <w:r>
              <w:t>Salpetrige S.</w:t>
            </w:r>
          </w:p>
        </w:tc>
        <w:tc>
          <w:tcPr>
            <w:tcW w:w="824" w:type="dxa"/>
          </w:tcPr>
          <w:p w14:paraId="4442C8A5" w14:textId="5C3C2975" w:rsidR="00C46266" w:rsidRPr="006A541F" w:rsidRDefault="00C46266" w:rsidP="00C46266">
            <w:pPr>
              <w:pStyle w:val="Listenabsatz"/>
              <w:ind w:left="0"/>
            </w:pPr>
            <w:r>
              <w:t>3,34</w:t>
            </w:r>
          </w:p>
        </w:tc>
        <w:tc>
          <w:tcPr>
            <w:tcW w:w="1856" w:type="dxa"/>
          </w:tcPr>
          <w:p w14:paraId="51184B71" w14:textId="0315B496" w:rsidR="00C46266" w:rsidRPr="006A541F" w:rsidRDefault="00C46266" w:rsidP="00C46266">
            <w:pPr>
              <w:pStyle w:val="Listenabsatz"/>
              <w:ind w:left="0"/>
            </w:pPr>
            <w:r w:rsidRPr="006A541F">
              <w:t>Schwefelwasserst</w:t>
            </w:r>
            <w:r>
              <w:t>.</w:t>
            </w:r>
          </w:p>
        </w:tc>
        <w:tc>
          <w:tcPr>
            <w:tcW w:w="992" w:type="dxa"/>
          </w:tcPr>
          <w:p w14:paraId="2C12FE4D" w14:textId="72BD96E9" w:rsidR="00C46266" w:rsidRPr="006A541F" w:rsidRDefault="00C46266" w:rsidP="00C46266">
            <w:pPr>
              <w:pStyle w:val="Listenabsatz"/>
              <w:ind w:left="0"/>
            </w:pPr>
            <w:r w:rsidRPr="006A541F">
              <w:t>6,99</w:t>
            </w:r>
          </w:p>
        </w:tc>
      </w:tr>
      <w:tr w:rsidR="00C46266" w:rsidRPr="006A541F" w14:paraId="1E295C3B" w14:textId="77777777" w:rsidTr="006A541F">
        <w:tc>
          <w:tcPr>
            <w:tcW w:w="1895" w:type="dxa"/>
          </w:tcPr>
          <w:p w14:paraId="39F125B0" w14:textId="12DF7844" w:rsidR="00C46266" w:rsidRPr="006A541F" w:rsidRDefault="00C46266" w:rsidP="00C46266">
            <w:pPr>
              <w:pStyle w:val="Listenabsatz"/>
              <w:ind w:left="0"/>
            </w:pPr>
            <w:r w:rsidRPr="006A541F">
              <w:t>Schwefelsäure</w:t>
            </w:r>
          </w:p>
        </w:tc>
        <w:tc>
          <w:tcPr>
            <w:tcW w:w="601" w:type="dxa"/>
          </w:tcPr>
          <w:p w14:paraId="733FA7B4" w14:textId="1AEF5D8C" w:rsidR="00C46266" w:rsidRPr="006A541F" w:rsidRDefault="00C46266" w:rsidP="00C46266">
            <w:pPr>
              <w:pStyle w:val="Listenabsatz"/>
              <w:ind w:left="-5"/>
              <w:jc w:val="both"/>
            </w:pPr>
            <w:r>
              <w:t>-3</w:t>
            </w:r>
          </w:p>
        </w:tc>
        <w:tc>
          <w:tcPr>
            <w:tcW w:w="2051" w:type="dxa"/>
          </w:tcPr>
          <w:p w14:paraId="6E9B1BAD" w14:textId="0B0F4D6A" w:rsidR="00C46266" w:rsidRPr="006A541F" w:rsidRDefault="00C46266" w:rsidP="00C46266">
            <w:pPr>
              <w:pStyle w:val="Listenabsatz"/>
              <w:ind w:left="0"/>
            </w:pPr>
            <w:r>
              <w:t>Ameisensäure</w:t>
            </w:r>
          </w:p>
        </w:tc>
        <w:tc>
          <w:tcPr>
            <w:tcW w:w="824" w:type="dxa"/>
          </w:tcPr>
          <w:p w14:paraId="6C11A245" w14:textId="6519A22A" w:rsidR="00C46266" w:rsidRPr="006A541F" w:rsidRDefault="00C46266" w:rsidP="00C46266">
            <w:pPr>
              <w:pStyle w:val="Listenabsatz"/>
              <w:ind w:left="0"/>
            </w:pPr>
            <w:r>
              <w:t>3,74</w:t>
            </w:r>
          </w:p>
        </w:tc>
        <w:tc>
          <w:tcPr>
            <w:tcW w:w="1856" w:type="dxa"/>
          </w:tcPr>
          <w:p w14:paraId="7B8B10E5" w14:textId="07F9B971" w:rsidR="00C46266" w:rsidRPr="006A541F" w:rsidRDefault="00C46266" w:rsidP="00C46266">
            <w:pPr>
              <w:pStyle w:val="Listenabsatz"/>
              <w:ind w:left="0"/>
            </w:pPr>
            <w:r>
              <w:t>Cyanwasserstoffs</w:t>
            </w:r>
          </w:p>
        </w:tc>
        <w:tc>
          <w:tcPr>
            <w:tcW w:w="992" w:type="dxa"/>
          </w:tcPr>
          <w:p w14:paraId="21142DAF" w14:textId="47B19E42" w:rsidR="00C46266" w:rsidRPr="006A541F" w:rsidRDefault="00C46266" w:rsidP="00C46266">
            <w:pPr>
              <w:pStyle w:val="Listenabsatz"/>
              <w:ind w:left="0"/>
            </w:pPr>
            <w:r>
              <w:t>9,4</w:t>
            </w:r>
          </w:p>
        </w:tc>
      </w:tr>
      <w:tr w:rsidR="00C46266" w:rsidRPr="006A541F" w14:paraId="4CCBF4D3" w14:textId="77777777" w:rsidTr="006A541F">
        <w:tc>
          <w:tcPr>
            <w:tcW w:w="1895" w:type="dxa"/>
          </w:tcPr>
          <w:p w14:paraId="528EC1E5" w14:textId="50E8A50D" w:rsidR="00C46266" w:rsidRPr="006A541F" w:rsidRDefault="00C46266" w:rsidP="00C46266">
            <w:pPr>
              <w:pStyle w:val="Listenabsatz"/>
              <w:ind w:left="0"/>
            </w:pPr>
            <w:r w:rsidRPr="006A541F">
              <w:t>Oxalsäure</w:t>
            </w:r>
          </w:p>
        </w:tc>
        <w:tc>
          <w:tcPr>
            <w:tcW w:w="601" w:type="dxa"/>
          </w:tcPr>
          <w:p w14:paraId="49B15C09" w14:textId="0E68C7B1" w:rsidR="00C46266" w:rsidRDefault="00C46266" w:rsidP="00C46266">
            <w:pPr>
              <w:pStyle w:val="Listenabsatz"/>
              <w:ind w:left="-5"/>
              <w:jc w:val="both"/>
            </w:pPr>
            <w:r>
              <w:t>1,42</w:t>
            </w:r>
          </w:p>
        </w:tc>
        <w:tc>
          <w:tcPr>
            <w:tcW w:w="2051" w:type="dxa"/>
          </w:tcPr>
          <w:p w14:paraId="130CFC27" w14:textId="76C826DB" w:rsidR="00C46266" w:rsidRPr="006A541F" w:rsidRDefault="00C46266" w:rsidP="00C46266">
            <w:pPr>
              <w:pStyle w:val="Listenabsatz"/>
              <w:ind w:left="0"/>
            </w:pPr>
            <w:r w:rsidRPr="006A541F">
              <w:t xml:space="preserve">Essigsäure </w:t>
            </w:r>
          </w:p>
        </w:tc>
        <w:tc>
          <w:tcPr>
            <w:tcW w:w="824" w:type="dxa"/>
          </w:tcPr>
          <w:p w14:paraId="3424AA0D" w14:textId="778790B2" w:rsidR="00C46266" w:rsidRPr="006A541F" w:rsidRDefault="00C46266" w:rsidP="00C46266">
            <w:pPr>
              <w:pStyle w:val="Listenabsatz"/>
              <w:ind w:left="0"/>
            </w:pPr>
            <w:r w:rsidRPr="006A541F">
              <w:t>4,75</w:t>
            </w:r>
          </w:p>
        </w:tc>
        <w:tc>
          <w:tcPr>
            <w:tcW w:w="1856" w:type="dxa"/>
          </w:tcPr>
          <w:p w14:paraId="7D9C73F5" w14:textId="0FEC9EC6" w:rsidR="00C46266" w:rsidRPr="006A541F" w:rsidRDefault="00C46266" w:rsidP="00C46266">
            <w:pPr>
              <w:pStyle w:val="Listenabsatz"/>
              <w:ind w:left="0"/>
            </w:pPr>
            <w:r w:rsidRPr="006A541F">
              <w:t xml:space="preserve">Wasser </w:t>
            </w:r>
          </w:p>
        </w:tc>
        <w:tc>
          <w:tcPr>
            <w:tcW w:w="992" w:type="dxa"/>
          </w:tcPr>
          <w:p w14:paraId="761989E4" w14:textId="0393C808" w:rsidR="00C46266" w:rsidRPr="006A541F" w:rsidRDefault="00C46266" w:rsidP="00C46266">
            <w:pPr>
              <w:pStyle w:val="Listenabsatz"/>
              <w:ind w:left="0"/>
            </w:pPr>
            <w:r w:rsidRPr="006A541F">
              <w:t>14,00</w:t>
            </w:r>
          </w:p>
        </w:tc>
      </w:tr>
    </w:tbl>
    <w:p w14:paraId="353C8F64" w14:textId="6F55B72F" w:rsidR="000C160C" w:rsidRDefault="000C160C" w:rsidP="000C160C">
      <w:pPr>
        <w:pStyle w:val="Listenabsatz"/>
      </w:pPr>
    </w:p>
    <w:p w14:paraId="46616755" w14:textId="77777777" w:rsidR="000C160C" w:rsidRDefault="000C160C" w:rsidP="000C160C">
      <w:pPr>
        <w:pStyle w:val="Listenabsatz"/>
      </w:pPr>
    </w:p>
    <w:p w14:paraId="1110CCFC" w14:textId="0F88F73C" w:rsidR="00115B99" w:rsidRDefault="00115B99" w:rsidP="00115B99">
      <w:pPr>
        <w:pStyle w:val="Listenabsatz"/>
        <w:numPr>
          <w:ilvl w:val="0"/>
          <w:numId w:val="11"/>
        </w:numPr>
      </w:pPr>
      <w:r>
        <w:t>Zeichnen Sie unter „Auswerten“ mit „pH-Indikatoren“ einige Indikatoren ein und geben Sie an, ob Methylorange für diese Titration ein geeigneter Indikator ist.</w:t>
      </w:r>
    </w:p>
    <w:p w14:paraId="44D7B0BE" w14:textId="410B10DF" w:rsidR="00115B99" w:rsidRDefault="00115B99" w:rsidP="00115B99"/>
    <w:p w14:paraId="609306FD" w14:textId="037FF8CC" w:rsidR="00C46266" w:rsidRDefault="00C46266" w:rsidP="00115B99"/>
    <w:p w14:paraId="5F785843" w14:textId="77777777" w:rsidR="00C46266" w:rsidRDefault="00C46266" w:rsidP="00115B99"/>
    <w:p w14:paraId="5B546E77" w14:textId="26DEFE59" w:rsidR="00115B99" w:rsidRDefault="00115B99" w:rsidP="00115B99">
      <w:pPr>
        <w:pStyle w:val="Listenabsatz"/>
        <w:numPr>
          <w:ilvl w:val="0"/>
          <w:numId w:val="11"/>
        </w:numPr>
      </w:pPr>
      <w:r>
        <w:t>Erzeugen Sie unter „Simulieren“ und „pH-Kurve“ und entsprechenden Eingaben eine Datenreihe und vergleichen Sie diese mit der vorgegebenen</w:t>
      </w:r>
      <w:r w:rsidR="000C160C">
        <w:t>!</w:t>
      </w:r>
    </w:p>
    <w:p w14:paraId="53D06769" w14:textId="1E856D03" w:rsidR="00C46266" w:rsidRDefault="00C46266" w:rsidP="00C46266"/>
    <w:p w14:paraId="7FB3D225" w14:textId="3091CF47" w:rsidR="00C46266" w:rsidRDefault="00C46266" w:rsidP="00C46266"/>
    <w:p w14:paraId="64C997C1" w14:textId="24CFB376" w:rsidR="00C46266" w:rsidRDefault="00C46266" w:rsidP="00C46266"/>
    <w:p w14:paraId="4F24825E" w14:textId="77777777" w:rsidR="00C46266" w:rsidRDefault="00C46266" w:rsidP="00C46266"/>
    <w:sectPr w:rsidR="00C46266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886AB" w14:textId="77777777" w:rsidR="003E720F" w:rsidRDefault="003E720F" w:rsidP="005E6316">
      <w:pPr>
        <w:spacing w:after="0" w:line="240" w:lineRule="auto"/>
      </w:pPr>
      <w:r>
        <w:separator/>
      </w:r>
    </w:p>
  </w:endnote>
  <w:endnote w:type="continuationSeparator" w:id="0">
    <w:p w14:paraId="0B4C44B8" w14:textId="77777777" w:rsidR="003E720F" w:rsidRDefault="003E720F" w:rsidP="005E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A8423" w14:textId="77777777" w:rsidR="005E6316" w:rsidRDefault="005E63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5A4AC" w14:textId="4D295A98" w:rsidR="005E6316" w:rsidRDefault="005E6316" w:rsidP="005E6316">
    <w:pPr>
      <w:pStyle w:val="Fuzeile"/>
      <w:pBdr>
        <w:top w:val="single" w:sz="4" w:space="1" w:color="auto"/>
      </w:pBdr>
    </w:pPr>
    <w:r>
      <w:t xml:space="preserve">Filmfragen – bitte bearbeiten   und evtl.   Korrekturvorschläge   und   Wünsche senden  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E1EE" w14:textId="77777777" w:rsidR="005E6316" w:rsidRDefault="005E63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2BDF9" w14:textId="77777777" w:rsidR="003E720F" w:rsidRDefault="003E720F" w:rsidP="005E6316">
      <w:pPr>
        <w:spacing w:after="0" w:line="240" w:lineRule="auto"/>
      </w:pPr>
      <w:r>
        <w:separator/>
      </w:r>
    </w:p>
  </w:footnote>
  <w:footnote w:type="continuationSeparator" w:id="0">
    <w:p w14:paraId="2DA88120" w14:textId="77777777" w:rsidR="003E720F" w:rsidRDefault="003E720F" w:rsidP="005E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B9DE" w14:textId="77777777" w:rsidR="005E6316" w:rsidRDefault="005E63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0C7AF" w14:textId="77777777" w:rsidR="005E6316" w:rsidRDefault="005E63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658C" w14:textId="77777777" w:rsidR="005E6316" w:rsidRDefault="005E6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5A1"/>
    <w:multiLevelType w:val="hybridMultilevel"/>
    <w:tmpl w:val="921A8C8A"/>
    <w:lvl w:ilvl="0" w:tplc="9B20AE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0080"/>
    <w:multiLevelType w:val="hybridMultilevel"/>
    <w:tmpl w:val="D8A01F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A5F04"/>
    <w:multiLevelType w:val="hybridMultilevel"/>
    <w:tmpl w:val="5868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21D88"/>
    <w:multiLevelType w:val="hybridMultilevel"/>
    <w:tmpl w:val="729C43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E1083"/>
    <w:multiLevelType w:val="hybridMultilevel"/>
    <w:tmpl w:val="EC028F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36B97"/>
    <w:multiLevelType w:val="hybridMultilevel"/>
    <w:tmpl w:val="DE5E7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821F1"/>
    <w:rsid w:val="000C160C"/>
    <w:rsid w:val="000F5C60"/>
    <w:rsid w:val="00115B99"/>
    <w:rsid w:val="00116BA1"/>
    <w:rsid w:val="001265D1"/>
    <w:rsid w:val="001352E8"/>
    <w:rsid w:val="0015700B"/>
    <w:rsid w:val="001F2C06"/>
    <w:rsid w:val="00244CDC"/>
    <w:rsid w:val="00247CDA"/>
    <w:rsid w:val="002B6260"/>
    <w:rsid w:val="003135F8"/>
    <w:rsid w:val="00377A2E"/>
    <w:rsid w:val="003B19AF"/>
    <w:rsid w:val="003C5268"/>
    <w:rsid w:val="003E720F"/>
    <w:rsid w:val="00415650"/>
    <w:rsid w:val="00435DF2"/>
    <w:rsid w:val="00440437"/>
    <w:rsid w:val="00454B18"/>
    <w:rsid w:val="00491B7F"/>
    <w:rsid w:val="004B3644"/>
    <w:rsid w:val="00511D42"/>
    <w:rsid w:val="005257F4"/>
    <w:rsid w:val="005936ED"/>
    <w:rsid w:val="005E6316"/>
    <w:rsid w:val="006158A8"/>
    <w:rsid w:val="00642593"/>
    <w:rsid w:val="006514AB"/>
    <w:rsid w:val="006931C2"/>
    <w:rsid w:val="006A541F"/>
    <w:rsid w:val="006D2759"/>
    <w:rsid w:val="007264C4"/>
    <w:rsid w:val="00747B3E"/>
    <w:rsid w:val="00756267"/>
    <w:rsid w:val="00765B3B"/>
    <w:rsid w:val="007F01C0"/>
    <w:rsid w:val="00886EE9"/>
    <w:rsid w:val="008F406F"/>
    <w:rsid w:val="008F6B51"/>
    <w:rsid w:val="008F7E60"/>
    <w:rsid w:val="00964A35"/>
    <w:rsid w:val="009764EC"/>
    <w:rsid w:val="009A4C97"/>
    <w:rsid w:val="009D453E"/>
    <w:rsid w:val="00A200C7"/>
    <w:rsid w:val="00A850D6"/>
    <w:rsid w:val="00AE6F13"/>
    <w:rsid w:val="00B26F5D"/>
    <w:rsid w:val="00C458D2"/>
    <w:rsid w:val="00C46266"/>
    <w:rsid w:val="00C47457"/>
    <w:rsid w:val="00C66DF6"/>
    <w:rsid w:val="00CD1762"/>
    <w:rsid w:val="00CE4363"/>
    <w:rsid w:val="00D3521F"/>
    <w:rsid w:val="00D61EB6"/>
    <w:rsid w:val="00DC19F2"/>
    <w:rsid w:val="00DD51B4"/>
    <w:rsid w:val="00DF5858"/>
    <w:rsid w:val="00E03F67"/>
    <w:rsid w:val="00E13B3D"/>
    <w:rsid w:val="00E95BD9"/>
    <w:rsid w:val="00EA2F7B"/>
    <w:rsid w:val="00EF3C76"/>
    <w:rsid w:val="00F33B6A"/>
    <w:rsid w:val="00F919DC"/>
    <w:rsid w:val="00F947CD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rsid w:val="00491B7F"/>
  </w:style>
  <w:style w:type="character" w:customStyle="1" w:styleId="ytp-time-separator">
    <w:name w:val="ytp-time-separator"/>
    <w:basedOn w:val="Absatz-Standardschriftart"/>
    <w:rsid w:val="00491B7F"/>
  </w:style>
  <w:style w:type="character" w:customStyle="1" w:styleId="ytp-time-duration">
    <w:name w:val="ytp-time-duration"/>
    <w:basedOn w:val="Absatz-Standardschriftart"/>
    <w:rsid w:val="00491B7F"/>
  </w:style>
  <w:style w:type="character" w:customStyle="1" w:styleId="style-scope">
    <w:name w:val="style-scope"/>
    <w:basedOn w:val="Absatz-Standardschriftart"/>
    <w:rsid w:val="00491B7F"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6316"/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6316"/>
  </w:style>
  <w:style w:type="table" w:styleId="Tabellenraster">
    <w:name w:val="Table Grid"/>
    <w:basedOn w:val="NormaleTabelle"/>
    <w:uiPriority w:val="39"/>
    <w:rsid w:val="006A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ppenberg.com/akminianalytik/minianalytik.html?load=xx.cs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kappenberg.com/akminianalytik/minianalytik.html?load=xx.csv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4</cp:revision>
  <dcterms:created xsi:type="dcterms:W3CDTF">2020-09-28T13:24:00Z</dcterms:created>
  <dcterms:modified xsi:type="dcterms:W3CDTF">2020-09-28T15:57:00Z</dcterms:modified>
</cp:coreProperties>
</file>